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1" w:rsidRDefault="002B1049" w:rsidP="007A3E27">
      <w:pPr>
        <w:jc w:val="center"/>
        <w:rPr>
          <w:b/>
          <w:bCs/>
          <w:color w:val="3237AA"/>
          <w:sz w:val="25"/>
          <w:szCs w:val="25"/>
        </w:rPr>
      </w:pPr>
      <w:r>
        <w:rPr>
          <w:noProof/>
          <w:sz w:val="19"/>
          <w:szCs w:val="19"/>
          <w:lang w:eastAsia="cs-CZ"/>
        </w:rPr>
        <w:drawing>
          <wp:inline distT="0" distB="0" distL="0" distR="0">
            <wp:extent cx="2733675" cy="819150"/>
            <wp:effectExtent l="19050" t="0" r="9525" b="0"/>
            <wp:docPr id="5" name="obrázek 1" descr="Logo Evropská komise - vzdělávání a 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Evropská komise - vzdělávání a kul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C41">
        <w:rPr>
          <w:b/>
          <w:bCs/>
          <w:color w:val="3237AA"/>
          <w:sz w:val="25"/>
          <w:szCs w:val="25"/>
        </w:rPr>
        <w:t xml:space="preserve">   </w:t>
      </w:r>
      <w:r>
        <w:rPr>
          <w:noProof/>
          <w:color w:val="3237AA"/>
          <w:sz w:val="19"/>
          <w:szCs w:val="19"/>
          <w:lang w:eastAsia="cs-CZ"/>
        </w:rPr>
        <w:drawing>
          <wp:inline distT="0" distB="0" distL="0" distR="0">
            <wp:extent cx="2371725" cy="885825"/>
            <wp:effectExtent l="19050" t="0" r="9525" b="0"/>
            <wp:docPr id="6" name="obrázek 4" descr="http://www.naep.cz/gfx/logo-dz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naep.cz/gfx/logo-dz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41" w:rsidRDefault="004C1C41" w:rsidP="007A3E27">
      <w:pPr>
        <w:jc w:val="center"/>
        <w:rPr>
          <w:b/>
          <w:bCs/>
          <w:color w:val="3237AA"/>
          <w:sz w:val="48"/>
          <w:szCs w:val="48"/>
          <w:lang w:val="en-GB"/>
        </w:rPr>
      </w:pPr>
    </w:p>
    <w:p w:rsidR="004C1C41" w:rsidRPr="004C1C41" w:rsidRDefault="007A3E27" w:rsidP="004C1C41">
      <w:pPr>
        <w:jc w:val="center"/>
        <w:rPr>
          <w:b/>
          <w:bCs/>
          <w:color w:val="3237AA"/>
          <w:sz w:val="48"/>
          <w:szCs w:val="48"/>
        </w:rPr>
      </w:pPr>
      <w:r w:rsidRPr="004C1C41">
        <w:rPr>
          <w:b/>
          <w:bCs/>
          <w:color w:val="3237AA"/>
          <w:sz w:val="48"/>
          <w:szCs w:val="48"/>
          <w:lang w:val="en-GB"/>
        </w:rPr>
        <w:t>Lifelong Learning Programme</w:t>
      </w:r>
      <w:r w:rsidRPr="004C1C41">
        <w:rPr>
          <w:b/>
          <w:bCs/>
          <w:color w:val="3237AA"/>
          <w:sz w:val="48"/>
          <w:szCs w:val="48"/>
        </w:rPr>
        <w:t xml:space="preserve"> (LLP) = Program celoživotního učení</w:t>
      </w:r>
    </w:p>
    <w:p w:rsidR="007A3E27" w:rsidRPr="007A3E27" w:rsidRDefault="007A3E27" w:rsidP="007A3E27">
      <w:pPr>
        <w:spacing w:before="150" w:after="100" w:afterAutospacing="1" w:line="270" w:lineRule="atLeast"/>
        <w:textAlignment w:val="top"/>
        <w:outlineLvl w:val="2"/>
        <w:rPr>
          <w:rFonts w:ascii="Times New Roman" w:eastAsia="Times New Roman" w:hAnsi="Times New Roman"/>
          <w:b/>
          <w:bCs/>
          <w:color w:val="3237AA"/>
          <w:sz w:val="25"/>
          <w:szCs w:val="25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05"/>
        <w:gridCol w:w="3301"/>
        <w:gridCol w:w="3518"/>
        <w:gridCol w:w="3770"/>
      </w:tblGrid>
      <w:tr w:rsidR="007A3E27" w:rsidRPr="007A3E2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683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</w:pPr>
            <w:r w:rsidRPr="007A3E27">
              <w:rPr>
                <w:rFonts w:ascii="Comic Sans MS" w:eastAsia="Times New Roman" w:hAnsi="Comic Sans MS"/>
                <w:b/>
                <w:bCs/>
                <w:color w:val="3237AA"/>
                <w:sz w:val="25"/>
                <w:szCs w:val="25"/>
                <w:lang w:eastAsia="cs-CZ"/>
              </w:rPr>
              <w:t>Program celoživotního učení obsahuje</w:t>
            </w:r>
            <w:r w:rsidRPr="00FC1683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7A3E27" w:rsidRPr="007A3E27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  <w:r w:rsidRPr="00FC1683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  <w:t>4 odvětvové programy</w:t>
            </w:r>
          </w:p>
        </w:tc>
      </w:tr>
      <w:tr w:rsidR="007A3E27" w:rsidRPr="007A3E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E27" w:rsidRPr="007A3E27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84CB5">
              <w:rPr>
                <w:rFonts w:ascii="Blackoak Std" w:eastAsia="Times New Roman" w:hAnsi="Blackoak Std"/>
                <w:b/>
                <w:bCs/>
                <w:color w:val="C00000"/>
                <w:lang w:eastAsia="cs-CZ"/>
              </w:rPr>
              <w:t>COMENIUS</w:t>
            </w:r>
            <w:r w:rsidRPr="007A3E2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>zaměřený na předškolní a školní vzdělávání až do úrovně ukončení středního vzdělání</w:t>
            </w:r>
            <w:r w:rsidRPr="007A3E2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E27" w:rsidRPr="007A3E27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84CB5">
              <w:rPr>
                <w:rFonts w:ascii="Blackoak Std" w:eastAsia="Times New Roman" w:hAnsi="Blackoak Std"/>
                <w:b/>
                <w:bCs/>
                <w:color w:val="002060"/>
                <w:lang w:eastAsia="cs-CZ"/>
              </w:rPr>
              <w:t>ERASMUS</w:t>
            </w:r>
            <w:r w:rsidRPr="007A3E2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>zaměřený na vysokoškolské vzdělávání a odborné vzdělávání na vysokoškolské úrovni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E27" w:rsidRPr="007A3E27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84CB5">
              <w:rPr>
                <w:rFonts w:ascii="Blackoak Std" w:eastAsia="Times New Roman" w:hAnsi="Blackoak Std"/>
                <w:b/>
                <w:bCs/>
                <w:color w:val="FFC000"/>
                <w:lang w:eastAsia="cs-CZ"/>
              </w:rPr>
              <w:t>LEONARDO DA VINCI</w:t>
            </w:r>
            <w:r w:rsidRPr="007A3E2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>zaměřený na odborné vzdělávání a odbornou přípravu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E27" w:rsidRPr="007A3E27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84CB5">
              <w:rPr>
                <w:rFonts w:ascii="Blackoak Std" w:eastAsia="Times New Roman" w:hAnsi="Blackoak Std"/>
                <w:b/>
                <w:bCs/>
                <w:color w:val="006600"/>
                <w:lang w:eastAsia="cs-CZ"/>
              </w:rPr>
              <w:t>GRUNDTVIG</w:t>
            </w:r>
            <w:r w:rsidRPr="007A3E2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>zaměřený na vzdělávání dospělých a celoživotní učení</w:t>
            </w:r>
          </w:p>
        </w:tc>
      </w:tr>
      <w:tr w:rsidR="007A3E27" w:rsidRPr="007A3E2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E27" w:rsidRPr="007A3E27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1683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lang w:eastAsia="cs-CZ"/>
              </w:rPr>
              <w:t>Průřezový program</w:t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 xml:space="preserve"> se skládá ze čtyř hlavních činností: </w:t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br/>
              <w:t xml:space="preserve">- spolupráce a inovace politik, </w:t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br/>
              <w:t xml:space="preserve">- podpora studia jazyků, </w:t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br/>
              <w:t xml:space="preserve">- informační a komunikační technologie, </w:t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br/>
              <w:t>- šíření a využívání výsledků v oblasti celoživotního učení</w:t>
            </w:r>
          </w:p>
        </w:tc>
      </w:tr>
      <w:tr w:rsidR="007A3E27" w:rsidRPr="007A3E27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E27" w:rsidRPr="007A3E27" w:rsidRDefault="007A3E27" w:rsidP="007A3E27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  <w:r w:rsidRPr="00FC1683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  <w:t>program Jean Monnet</w:t>
            </w:r>
            <w:r w:rsidRPr="007A3E27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 xml:space="preserve"> zahrnuje akce Jean Monnet a provozní granty pro evropské instituce</w:t>
            </w:r>
          </w:p>
        </w:tc>
      </w:tr>
    </w:tbl>
    <w:p w:rsidR="004C1C41" w:rsidRDefault="004C1C41"/>
    <w:p w:rsidR="009F0C81" w:rsidRPr="009F0C81" w:rsidRDefault="003E3024" w:rsidP="00A12E1E">
      <w:pPr>
        <w:jc w:val="center"/>
        <w:rPr>
          <w:b/>
          <w:bCs/>
          <w:color w:val="FFC000"/>
          <w:sz w:val="56"/>
          <w:szCs w:val="56"/>
          <w:lang w:val="en-GB"/>
        </w:rPr>
      </w:pPr>
      <w:r w:rsidRPr="009F0C81">
        <w:rPr>
          <w:b/>
          <w:bCs/>
          <w:color w:val="FFC000"/>
          <w:sz w:val="56"/>
          <w:szCs w:val="56"/>
          <w:lang w:val="en-GB"/>
        </w:rPr>
        <w:t xml:space="preserve">COMENIUS MULTILATERAL SCHOOL PARTNERSHIP </w:t>
      </w:r>
      <w:r w:rsidR="004C1C41" w:rsidRPr="009F0C81">
        <w:rPr>
          <w:b/>
          <w:bCs/>
          <w:color w:val="FFC000"/>
          <w:sz w:val="56"/>
          <w:szCs w:val="56"/>
          <w:lang w:val="en-GB"/>
        </w:rPr>
        <w:t>COMENIUS MULTILAT</w:t>
      </w:r>
      <w:r w:rsidR="009F0C81">
        <w:rPr>
          <w:b/>
          <w:bCs/>
          <w:color w:val="FFC000"/>
          <w:sz w:val="56"/>
          <w:szCs w:val="56"/>
          <w:lang w:val="en-GB"/>
        </w:rPr>
        <w:t>ERÁLNÍ PROJEKT PARTNERSTVÍ ŠKOL</w:t>
      </w:r>
    </w:p>
    <w:p w:rsidR="00A12E1E" w:rsidRDefault="00A12E1E" w:rsidP="003E3024"/>
    <w:p w:rsidR="00A12E1E" w:rsidRPr="009F0C81" w:rsidRDefault="00A12E1E" w:rsidP="00A12E1E">
      <w:pPr>
        <w:jc w:val="center"/>
        <w:rPr>
          <w:b/>
          <w:color w:val="C00000"/>
          <w:sz w:val="72"/>
          <w:szCs w:val="72"/>
        </w:rPr>
      </w:pPr>
      <w:r w:rsidRPr="003E3024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S.T.O.R.I.E.S.</w:t>
      </w:r>
      <w:r w:rsidRPr="009F0C81">
        <w:rPr>
          <w:b/>
          <w:color w:val="C00000"/>
          <w:sz w:val="72"/>
          <w:szCs w:val="72"/>
        </w:rPr>
        <w:t xml:space="preserve"> – </w:t>
      </w:r>
      <w:r w:rsidRPr="009F0C81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S</w:t>
      </w:r>
      <w:r w:rsidRPr="009F0C81">
        <w:rPr>
          <w:b/>
          <w:color w:val="C00000"/>
          <w:sz w:val="72"/>
          <w:szCs w:val="72"/>
          <w:lang w:val="en-GB"/>
        </w:rPr>
        <w:t xml:space="preserve">earching </w:t>
      </w:r>
      <w:r w:rsidRPr="009F0C81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T</w:t>
      </w:r>
      <w:r w:rsidRPr="009F0C81">
        <w:rPr>
          <w:b/>
          <w:color w:val="C00000"/>
          <w:sz w:val="72"/>
          <w:szCs w:val="72"/>
          <w:lang w:val="en-GB"/>
        </w:rPr>
        <w:t xml:space="preserve">races </w:t>
      </w:r>
      <w:r w:rsidRPr="009F0C81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o</w:t>
      </w:r>
      <w:r w:rsidRPr="009F0C81">
        <w:rPr>
          <w:b/>
          <w:color w:val="C00000"/>
          <w:sz w:val="72"/>
          <w:szCs w:val="72"/>
          <w:lang w:val="en-GB"/>
        </w:rPr>
        <w:t xml:space="preserve">f </w:t>
      </w:r>
      <w:r w:rsidRPr="009F0C81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R</w:t>
      </w:r>
      <w:r w:rsidRPr="009F0C81">
        <w:rPr>
          <w:b/>
          <w:color w:val="C00000"/>
          <w:sz w:val="72"/>
          <w:szCs w:val="72"/>
          <w:lang w:val="en-GB"/>
        </w:rPr>
        <w:t xml:space="preserve">enaissance </w:t>
      </w:r>
      <w:r w:rsidRPr="009F0C81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i</w:t>
      </w:r>
      <w:r w:rsidRPr="009F0C81">
        <w:rPr>
          <w:b/>
          <w:color w:val="C00000"/>
          <w:sz w:val="72"/>
          <w:szCs w:val="72"/>
          <w:lang w:val="en-GB"/>
        </w:rPr>
        <w:t xml:space="preserve">n </w:t>
      </w:r>
      <w:r w:rsidRPr="009F0C81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E</w:t>
      </w:r>
      <w:r w:rsidRPr="009F0C81">
        <w:rPr>
          <w:b/>
          <w:color w:val="C00000"/>
          <w:sz w:val="72"/>
          <w:szCs w:val="72"/>
          <w:lang w:val="en-GB"/>
        </w:rPr>
        <w:t xml:space="preserve">uropean </w:t>
      </w:r>
      <w:r w:rsidRPr="009F0C81">
        <w:rPr>
          <w:rFonts w:ascii="Blackoak Std" w:hAnsi="Blackoak Std"/>
          <w:b/>
          <w:i/>
          <w:color w:val="C00000"/>
          <w:sz w:val="72"/>
          <w:szCs w:val="72"/>
          <w:lang w:val="en-GB"/>
        </w:rPr>
        <w:t>S</w:t>
      </w:r>
      <w:r w:rsidRPr="009F0C81">
        <w:rPr>
          <w:b/>
          <w:color w:val="C00000"/>
          <w:sz w:val="72"/>
          <w:szCs w:val="72"/>
          <w:lang w:val="en-GB"/>
        </w:rPr>
        <w:t>ociety</w:t>
      </w:r>
    </w:p>
    <w:p w:rsidR="009F0C81" w:rsidRPr="003E3024" w:rsidRDefault="009F0C81" w:rsidP="00A12E1E">
      <w:pPr>
        <w:jc w:val="center"/>
        <w:rPr>
          <w:b/>
        </w:rPr>
      </w:pPr>
    </w:p>
    <w:p w:rsidR="0009380B" w:rsidRDefault="00A12E1E" w:rsidP="00A12E1E">
      <w:pPr>
        <w:jc w:val="center"/>
        <w:rPr>
          <w:b/>
          <w:color w:val="1F497D"/>
          <w:sz w:val="72"/>
          <w:szCs w:val="72"/>
        </w:rPr>
      </w:pPr>
      <w:r w:rsidRPr="009F0C81">
        <w:rPr>
          <w:b/>
          <w:color w:val="1F497D"/>
          <w:sz w:val="72"/>
          <w:szCs w:val="72"/>
        </w:rPr>
        <w:t xml:space="preserve">Po stopách Renesance </w:t>
      </w:r>
    </w:p>
    <w:p w:rsidR="00A12E1E" w:rsidRDefault="00A12E1E" w:rsidP="00A12E1E">
      <w:pPr>
        <w:jc w:val="center"/>
        <w:rPr>
          <w:b/>
          <w:color w:val="1F497D"/>
          <w:sz w:val="72"/>
          <w:szCs w:val="72"/>
        </w:rPr>
      </w:pPr>
      <w:r w:rsidRPr="009F0C81">
        <w:rPr>
          <w:b/>
          <w:color w:val="1F497D"/>
          <w:sz w:val="72"/>
          <w:szCs w:val="72"/>
        </w:rPr>
        <w:t>v Evropské společnosti</w:t>
      </w:r>
    </w:p>
    <w:p w:rsidR="003E3024" w:rsidRPr="00FC1683" w:rsidRDefault="003E3024" w:rsidP="00384CB5">
      <w:pPr>
        <w:jc w:val="center"/>
        <w:rPr>
          <w:b/>
          <w:bCs/>
          <w:sz w:val="56"/>
          <w:szCs w:val="56"/>
          <w:lang w:val="en-GB"/>
        </w:rPr>
      </w:pPr>
      <w:r w:rsidRPr="006A2486">
        <w:rPr>
          <w:b/>
          <w:bCs/>
          <w:sz w:val="56"/>
          <w:szCs w:val="56"/>
          <w:lang w:val="en-GB"/>
        </w:rPr>
        <w:lastRenderedPageBreak/>
        <w:t>Comenius project partners</w:t>
      </w:r>
      <w:r w:rsidR="00FC1683">
        <w:rPr>
          <w:b/>
          <w:bCs/>
          <w:sz w:val="56"/>
          <w:szCs w:val="56"/>
          <w:lang w:val="en-GB"/>
        </w:rPr>
        <w:t xml:space="preserve"> </w:t>
      </w:r>
      <w:r w:rsidR="00384CB5">
        <w:rPr>
          <w:b/>
          <w:bCs/>
          <w:sz w:val="56"/>
          <w:szCs w:val="56"/>
          <w:lang w:val="en-GB"/>
        </w:rPr>
        <w:t xml:space="preserve">/ </w:t>
      </w:r>
      <w:r w:rsidRPr="00384CB5">
        <w:rPr>
          <w:b/>
          <w:bCs/>
          <w:i/>
          <w:sz w:val="52"/>
          <w:szCs w:val="52"/>
          <w:lang w:val="en-GB"/>
        </w:rPr>
        <w:t>Partneři v projektu Comenius</w:t>
      </w:r>
    </w:p>
    <w:p w:rsidR="00D5286F" w:rsidRDefault="00FC1683" w:rsidP="00FC1683">
      <w:pPr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45pt" fillcolor="#ffc000">
            <v:shadow color="#868686"/>
            <v:textpath style="font-family:&quot;Arial Black&quot;;v-text-kern:t" trim="t" fitpath="t" string="IES Benicalap, Valencia, Španělsko"/>
          </v:shape>
        </w:pict>
      </w:r>
    </w:p>
    <w:p w:rsidR="003E3024" w:rsidRPr="00384CB5" w:rsidRDefault="006A2486" w:rsidP="00FC1683">
      <w:pPr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384CB5">
        <w:rPr>
          <w:rFonts w:ascii="Arial" w:hAnsi="Arial" w:cs="Arial"/>
          <w:b/>
          <w:sz w:val="24"/>
          <w:szCs w:val="24"/>
          <w:lang w:eastAsia="cs-CZ"/>
        </w:rPr>
        <w:t>počet žáků</w:t>
      </w:r>
      <w:r w:rsidR="000D1765" w:rsidRPr="00384CB5">
        <w:rPr>
          <w:rFonts w:ascii="Arial" w:hAnsi="Arial" w:cs="Arial"/>
          <w:b/>
          <w:sz w:val="24"/>
          <w:szCs w:val="24"/>
          <w:lang w:eastAsia="cs-CZ"/>
        </w:rPr>
        <w:t xml:space="preserve">: 501 </w:t>
      </w:r>
      <w:r w:rsidRPr="00384CB5">
        <w:rPr>
          <w:rFonts w:ascii="Arial" w:hAnsi="Arial" w:cs="Arial"/>
          <w:b/>
          <w:sz w:val="24"/>
          <w:szCs w:val="24"/>
          <w:lang w:eastAsia="cs-CZ"/>
        </w:rPr>
        <w:t>až</w:t>
      </w:r>
      <w:r w:rsidR="000D1765" w:rsidRPr="00384CB5">
        <w:rPr>
          <w:rFonts w:ascii="Arial" w:hAnsi="Arial" w:cs="Arial"/>
          <w:b/>
          <w:sz w:val="24"/>
          <w:szCs w:val="24"/>
          <w:lang w:eastAsia="cs-CZ"/>
        </w:rPr>
        <w:t xml:space="preserve"> 2.000</w:t>
      </w:r>
    </w:p>
    <w:p w:rsidR="00FC1683" w:rsidRPr="00D5286F" w:rsidRDefault="00FC1683" w:rsidP="00FC1683">
      <w:pPr>
        <w:jc w:val="center"/>
        <w:rPr>
          <w:rFonts w:ascii="Arial" w:hAnsi="Arial" w:cs="Arial"/>
          <w:sz w:val="24"/>
          <w:szCs w:val="24"/>
          <w:lang w:eastAsia="cs-CZ"/>
        </w:rPr>
      </w:pPr>
    </w:p>
    <w:p w:rsidR="00D5286F" w:rsidRDefault="0009380B" w:rsidP="00FC1683">
      <w:pPr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pict>
          <v:shape id="_x0000_i1026" type="#_x0000_t136" style="width:563.25pt;height:45pt" fillcolor="#002060">
            <v:shadow color="#868686"/>
            <v:textpath style="font-family:&quot;Arial Black&quot;;v-text-kern:t" trim="t" fitpath="t" string="ZŠ s MŠ Cádrova, Bratislava, Slovensko"/>
          </v:shape>
        </w:pict>
      </w:r>
    </w:p>
    <w:p w:rsidR="000D1765" w:rsidRPr="00384CB5" w:rsidRDefault="006A2486" w:rsidP="00FC1683">
      <w:pPr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384CB5">
        <w:rPr>
          <w:rFonts w:ascii="Arial" w:hAnsi="Arial" w:cs="Arial"/>
          <w:b/>
          <w:sz w:val="24"/>
          <w:szCs w:val="24"/>
          <w:lang w:eastAsia="cs-CZ"/>
        </w:rPr>
        <w:t>počet žáků</w:t>
      </w:r>
      <w:r w:rsidR="000D1765" w:rsidRPr="00384CB5">
        <w:rPr>
          <w:rFonts w:ascii="Arial" w:hAnsi="Arial" w:cs="Arial"/>
          <w:b/>
          <w:sz w:val="24"/>
          <w:szCs w:val="24"/>
          <w:lang w:eastAsia="cs-CZ"/>
        </w:rPr>
        <w:t xml:space="preserve">: 251 </w:t>
      </w:r>
      <w:r w:rsidRPr="00384CB5">
        <w:rPr>
          <w:rFonts w:ascii="Arial" w:hAnsi="Arial" w:cs="Arial"/>
          <w:b/>
          <w:sz w:val="24"/>
          <w:szCs w:val="24"/>
          <w:lang w:eastAsia="cs-CZ"/>
        </w:rPr>
        <w:t>až</w:t>
      </w:r>
      <w:r w:rsidR="000D1765" w:rsidRPr="00384CB5">
        <w:rPr>
          <w:rFonts w:ascii="Arial" w:hAnsi="Arial" w:cs="Arial"/>
          <w:b/>
          <w:sz w:val="24"/>
          <w:szCs w:val="24"/>
          <w:lang w:eastAsia="cs-CZ"/>
        </w:rPr>
        <w:t xml:space="preserve"> 500</w:t>
      </w:r>
    </w:p>
    <w:p w:rsidR="00FC1683" w:rsidRPr="00D5286F" w:rsidRDefault="00FC1683" w:rsidP="00FC1683">
      <w:pPr>
        <w:jc w:val="center"/>
        <w:rPr>
          <w:rFonts w:ascii="Arial" w:hAnsi="Arial" w:cs="Arial"/>
          <w:sz w:val="24"/>
          <w:szCs w:val="24"/>
          <w:lang w:eastAsia="cs-CZ"/>
        </w:rPr>
      </w:pPr>
    </w:p>
    <w:p w:rsidR="000C7195" w:rsidRDefault="00FC1683" w:rsidP="00FC1683">
      <w:pPr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pict>
          <v:shape id="_x0000_i1027" type="#_x0000_t136" style="width:699.75pt;height:36.75pt" fillcolor="#c00000">
            <v:shadow color="#868686"/>
            <v:textpath style="font-family:&quot;Arial Black&quot;;v-text-kern:t" trim="t" fitpath="t" string="Gimnazjum nr 12 im. Jana Matejki, Częstochowa, Polsko "/>
          </v:shape>
        </w:pict>
      </w:r>
    </w:p>
    <w:p w:rsidR="000D1765" w:rsidRPr="00384CB5" w:rsidRDefault="006A2486" w:rsidP="00FC1683">
      <w:pPr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384CB5">
        <w:rPr>
          <w:rFonts w:ascii="Arial" w:hAnsi="Arial" w:cs="Arial"/>
          <w:b/>
          <w:sz w:val="24"/>
          <w:szCs w:val="24"/>
          <w:lang w:eastAsia="cs-CZ"/>
        </w:rPr>
        <w:t>počet žáků</w:t>
      </w:r>
      <w:r w:rsidR="000D1765" w:rsidRPr="00384CB5">
        <w:rPr>
          <w:rFonts w:ascii="Arial" w:hAnsi="Arial" w:cs="Arial"/>
          <w:b/>
          <w:sz w:val="24"/>
          <w:szCs w:val="24"/>
          <w:lang w:eastAsia="cs-CZ"/>
        </w:rPr>
        <w:t xml:space="preserve">: 251 </w:t>
      </w:r>
      <w:r w:rsidRPr="00384CB5">
        <w:rPr>
          <w:rFonts w:ascii="Arial" w:hAnsi="Arial" w:cs="Arial"/>
          <w:b/>
          <w:sz w:val="24"/>
          <w:szCs w:val="24"/>
          <w:lang w:eastAsia="cs-CZ"/>
        </w:rPr>
        <w:t>až</w:t>
      </w:r>
      <w:r w:rsidR="000D1765" w:rsidRPr="00384CB5">
        <w:rPr>
          <w:rFonts w:ascii="Arial" w:hAnsi="Arial" w:cs="Arial"/>
          <w:b/>
          <w:sz w:val="24"/>
          <w:szCs w:val="24"/>
          <w:lang w:eastAsia="cs-CZ"/>
        </w:rPr>
        <w:t xml:space="preserve"> 500</w:t>
      </w:r>
    </w:p>
    <w:p w:rsidR="00FC1683" w:rsidRPr="00D5286F" w:rsidRDefault="00FC1683" w:rsidP="00FC1683">
      <w:pPr>
        <w:jc w:val="center"/>
        <w:rPr>
          <w:rFonts w:ascii="Arial" w:hAnsi="Arial" w:cs="Arial"/>
          <w:sz w:val="24"/>
          <w:szCs w:val="24"/>
          <w:lang w:eastAsia="cs-CZ"/>
        </w:rPr>
      </w:pPr>
    </w:p>
    <w:p w:rsidR="000C7195" w:rsidRDefault="00FC1683" w:rsidP="00FC1683">
      <w:pPr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pict>
          <v:shape id="_x0000_i1028" type="#_x0000_t136" style="width:699.75pt;height:31.5pt" fillcolor="#060">
            <v:shadow color="#868686"/>
            <v:textpath style="font-family:&quot;Arial Black&quot;;v-text-kern:t" trim="t" fitpath="t" string="Teleki-Wattay Muveszeti Iskola Pomaz, Pomaz, Maďarsko"/>
          </v:shape>
        </w:pict>
      </w:r>
    </w:p>
    <w:p w:rsidR="000D1765" w:rsidRPr="000D1765" w:rsidRDefault="006A2486" w:rsidP="00384CB5">
      <w:pPr>
        <w:jc w:val="center"/>
        <w:rPr>
          <w:b/>
          <w:bCs/>
          <w:lang w:val="pl-PL"/>
        </w:rPr>
      </w:pPr>
      <w:r w:rsidRPr="00384CB5">
        <w:rPr>
          <w:rFonts w:ascii="Arial" w:hAnsi="Arial" w:cs="Arial"/>
          <w:b/>
          <w:sz w:val="24"/>
          <w:szCs w:val="24"/>
          <w:lang w:eastAsia="cs-CZ"/>
        </w:rPr>
        <w:t>počet žáků: 251 až 500</w:t>
      </w:r>
    </w:p>
    <w:sectPr w:rsidR="000D1765" w:rsidRPr="000D1765" w:rsidSect="007A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A3E27"/>
    <w:rsid w:val="00081F83"/>
    <w:rsid w:val="0009380B"/>
    <w:rsid w:val="000C7195"/>
    <w:rsid w:val="000D1765"/>
    <w:rsid w:val="002B1049"/>
    <w:rsid w:val="00384CB5"/>
    <w:rsid w:val="003E3024"/>
    <w:rsid w:val="004C1C41"/>
    <w:rsid w:val="005C7C10"/>
    <w:rsid w:val="006A2486"/>
    <w:rsid w:val="007A3E27"/>
    <w:rsid w:val="00832CAC"/>
    <w:rsid w:val="009F0C81"/>
    <w:rsid w:val="00A12E1E"/>
    <w:rsid w:val="00D5286F"/>
    <w:rsid w:val="00DB2EC5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E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A3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E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EA"/>
          </w:divBdr>
          <w:divsChild>
            <w:div w:id="1192718606">
              <w:marLeft w:val="4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zs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ATC</Company>
  <LinksUpToDate>false</LinksUpToDate>
  <CharactersWithSpaces>1121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http://www.dzs.cz/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Jaroslava</cp:lastModifiedBy>
  <cp:revision>2</cp:revision>
  <dcterms:created xsi:type="dcterms:W3CDTF">2013-02-24T20:50:00Z</dcterms:created>
  <dcterms:modified xsi:type="dcterms:W3CDTF">2013-02-24T20:50:00Z</dcterms:modified>
</cp:coreProperties>
</file>